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CA" w:rsidRDefault="003F21CA" w:rsidP="003F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 xml:space="preserve">A Tokaj Borvidék Fejlesztési Tanács elnökeként tájékoztatom, hogy a Tokaj Borvidék </w:t>
      </w:r>
      <w:r w:rsidR="009F2026">
        <w:rPr>
          <w:rFonts w:ascii="Century Gothic" w:hAnsi="Century Gothic" w:cs="Garamond"/>
        </w:rPr>
        <w:t>Fejlesztési Tanács 2016. június 16-á</w:t>
      </w:r>
      <w:r w:rsidRPr="006162A7">
        <w:rPr>
          <w:rFonts w:ascii="Century Gothic" w:hAnsi="Century Gothic" w:cs="Garamond"/>
        </w:rPr>
        <w:t>n ülést tart, amelyre ezennel tisztelettel meghívom.</w:t>
      </w: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  <w:b/>
        </w:rPr>
        <w:t>Az ülés időpontja</w:t>
      </w:r>
      <w:r w:rsidR="009F2026">
        <w:rPr>
          <w:rFonts w:ascii="Century Gothic" w:hAnsi="Century Gothic" w:cs="Garamond"/>
        </w:rPr>
        <w:t>: 2016. június 16</w:t>
      </w:r>
      <w:r w:rsidRPr="006162A7">
        <w:rPr>
          <w:rFonts w:ascii="Century Gothic" w:hAnsi="Century Gothic" w:cs="Garamond"/>
        </w:rPr>
        <w:t>. 10.30 óra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  <w:b/>
        </w:rPr>
        <w:t>Az ülés helye</w:t>
      </w:r>
      <w:r w:rsidRPr="006162A7">
        <w:rPr>
          <w:rFonts w:ascii="Century Gothic" w:hAnsi="Century Gothic" w:cs="Garamond"/>
        </w:rPr>
        <w:t>: a Tanács székhelye (Tokaj, Dózsa György u. 2.)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3B713F" w:rsidRPr="003B713F" w:rsidRDefault="003B713F" w:rsidP="003B713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3B713F" w:rsidRP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Javaslat a Tokaji Borvidék területfejlesztési koncepciójának elfogadásáról és a dokumentum társadalmi egyeztetésre bocsájtásáról</w:t>
      </w:r>
    </w:p>
    <w:p w:rsidR="003B713F" w:rsidRDefault="003B713F" w:rsidP="003B713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3B713F" w:rsidRP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 xml:space="preserve">Javaslat a Tokaj Borvidék Fejlődéséért </w:t>
      </w:r>
      <w:proofErr w:type="spellStart"/>
      <w:r w:rsidRPr="003B713F">
        <w:rPr>
          <w:rFonts w:ascii="Century Gothic" w:hAnsi="Century Gothic" w:cs="Garamond-Bold"/>
          <w:bCs/>
          <w:i/>
        </w:rPr>
        <w:t>Nkft</w:t>
      </w:r>
      <w:proofErr w:type="spellEnd"/>
      <w:r w:rsidRPr="003B713F">
        <w:rPr>
          <w:rFonts w:ascii="Century Gothic" w:hAnsi="Century Gothic" w:cs="Garamond-Bold"/>
          <w:bCs/>
          <w:i/>
        </w:rPr>
        <w:t xml:space="preserve">. </w:t>
      </w:r>
      <w:proofErr w:type="spellStart"/>
      <w:r w:rsidRPr="003B713F">
        <w:rPr>
          <w:rFonts w:ascii="Century Gothic" w:hAnsi="Century Gothic" w:cs="Garamond-Bold"/>
          <w:bCs/>
          <w:i/>
        </w:rPr>
        <w:t>Cafetéria</w:t>
      </w:r>
      <w:proofErr w:type="spellEnd"/>
      <w:r w:rsidRPr="003B713F">
        <w:rPr>
          <w:rFonts w:ascii="Century Gothic" w:hAnsi="Century Gothic" w:cs="Garamond-Bold"/>
          <w:bCs/>
          <w:i/>
        </w:rPr>
        <w:t xml:space="preserve"> szabályzatának módosítására</w:t>
      </w:r>
    </w:p>
    <w:p w:rsid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3B713F">
        <w:rPr>
          <w:rFonts w:ascii="Century Gothic" w:hAnsi="Century Gothic" w:cs="Garamond-Bold"/>
          <w:bCs/>
          <w:i/>
        </w:rPr>
        <w:t>·</w:t>
      </w:r>
      <w:r w:rsidRPr="003B713F">
        <w:rPr>
          <w:rFonts w:ascii="Century Gothic" w:hAnsi="Century Gothic" w:cs="Garamond-Bold"/>
          <w:bCs/>
          <w:i/>
        </w:rPr>
        <w:tab/>
      </w: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3B713F" w:rsidRPr="003B713F" w:rsidRDefault="003B713F" w:rsidP="003B71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 xml:space="preserve">Javaslat a Tokaj Borvidék Fejlődéséért </w:t>
      </w:r>
      <w:proofErr w:type="spellStart"/>
      <w:r w:rsidRPr="003B713F">
        <w:rPr>
          <w:rFonts w:ascii="Century Gothic" w:hAnsi="Century Gothic" w:cs="Garamond-Bold"/>
          <w:bCs/>
          <w:i/>
        </w:rPr>
        <w:t>NKft</w:t>
      </w:r>
      <w:proofErr w:type="spellEnd"/>
      <w:r w:rsidRPr="003B713F">
        <w:rPr>
          <w:rFonts w:ascii="Century Gothic" w:hAnsi="Century Gothic" w:cs="Garamond-Bold"/>
          <w:bCs/>
          <w:i/>
        </w:rPr>
        <w:t xml:space="preserve">. és a </w:t>
      </w:r>
      <w:proofErr w:type="spellStart"/>
      <w:r w:rsidRPr="003B713F">
        <w:rPr>
          <w:rFonts w:ascii="Century Gothic" w:hAnsi="Century Gothic" w:cs="Garamond-Bold"/>
          <w:bCs/>
          <w:i/>
        </w:rPr>
        <w:t>Konto-Roll</w:t>
      </w:r>
      <w:proofErr w:type="spellEnd"/>
      <w:r w:rsidRPr="003B713F">
        <w:rPr>
          <w:rFonts w:ascii="Century Gothic" w:hAnsi="Century Gothic" w:cs="Garamond-Bold"/>
          <w:bCs/>
          <w:i/>
        </w:rPr>
        <w:t xml:space="preserve"> Audit Kft. között megkötendő, könyvvizsgálatról szóló szerződés elfogadásáról</w:t>
      </w:r>
    </w:p>
    <w:p w:rsid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3B713F">
        <w:rPr>
          <w:rFonts w:ascii="Century Gothic" w:hAnsi="Century Gothic" w:cs="Garamond-Bold"/>
          <w:bCs/>
          <w:i/>
        </w:rPr>
        <w:t>·</w:t>
      </w:r>
      <w:r w:rsidRPr="003B713F">
        <w:rPr>
          <w:rFonts w:ascii="Century Gothic" w:hAnsi="Century Gothic" w:cs="Garamond-Bold"/>
          <w:bCs/>
          <w:i/>
        </w:rPr>
        <w:tab/>
      </w: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6C12C3" w:rsidRDefault="006C12C3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</w:p>
    <w:p w:rsidR="006C12C3" w:rsidRDefault="006C12C3" w:rsidP="006C12C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>
        <w:rPr>
          <w:rFonts w:ascii="Century Gothic" w:hAnsi="Century Gothic" w:cs="Garamond"/>
          <w:i/>
        </w:rPr>
        <w:t xml:space="preserve">Javaslat Skoda </w:t>
      </w:r>
      <w:proofErr w:type="spellStart"/>
      <w:r>
        <w:rPr>
          <w:rFonts w:ascii="Century Gothic" w:hAnsi="Century Gothic" w:cs="Garamond"/>
          <w:i/>
        </w:rPr>
        <w:t>Octavia</w:t>
      </w:r>
      <w:proofErr w:type="spellEnd"/>
      <w:r>
        <w:rPr>
          <w:rFonts w:ascii="Century Gothic" w:hAnsi="Century Gothic" w:cs="Garamond"/>
          <w:i/>
        </w:rPr>
        <w:t xml:space="preserve"> gépjármű beszerzésére</w:t>
      </w:r>
    </w:p>
    <w:p w:rsidR="006C12C3" w:rsidRDefault="006C12C3" w:rsidP="006C12C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Garamond"/>
          <w:i/>
        </w:rPr>
      </w:pPr>
      <w:r>
        <w:rPr>
          <w:rFonts w:ascii="Century Gothic" w:hAnsi="Century Gothic" w:cs="Garamond"/>
          <w:i/>
        </w:rPr>
        <w:t>Előterjesztő: a munkaszervezet vezetője</w:t>
      </w:r>
    </w:p>
    <w:p w:rsidR="003B713F" w:rsidRPr="003B713F" w:rsidRDefault="003B713F" w:rsidP="003B71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Javaslat a Tokaji borvidék dűlőúthálózat fejlesztésére</w:t>
      </w:r>
    </w:p>
    <w:p w:rsid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·</w:t>
      </w:r>
      <w:r w:rsidRPr="003B713F">
        <w:rPr>
          <w:rFonts w:ascii="Century Gothic" w:hAnsi="Century Gothic" w:cs="Garamond-Bold"/>
          <w:bCs/>
          <w:i/>
        </w:rPr>
        <w:tab/>
        <w:t>Előterjesztő: a munkaszervezet vezetője</w:t>
      </w:r>
    </w:p>
    <w:p w:rsidR="003B713F" w:rsidRPr="003B713F" w:rsidRDefault="003B713F" w:rsidP="003B71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 xml:space="preserve">Javaslat a Tokaj Borvidék Fejlődéséért </w:t>
      </w:r>
      <w:proofErr w:type="spellStart"/>
      <w:r w:rsidRPr="003B713F">
        <w:rPr>
          <w:rFonts w:ascii="Century Gothic" w:hAnsi="Century Gothic" w:cs="Garamond-Bold"/>
          <w:bCs/>
          <w:i/>
        </w:rPr>
        <w:t>NKft</w:t>
      </w:r>
      <w:proofErr w:type="spellEnd"/>
      <w:r w:rsidRPr="003B713F">
        <w:rPr>
          <w:rFonts w:ascii="Century Gothic" w:hAnsi="Century Gothic" w:cs="Garamond-Bold"/>
          <w:bCs/>
          <w:i/>
        </w:rPr>
        <w:t>. szerepéről a vidékfejlesztési pályázatokban potenciális résztvevők támogatásában</w:t>
      </w:r>
    </w:p>
    <w:p w:rsid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·</w:t>
      </w:r>
      <w:r w:rsidRPr="003B713F">
        <w:rPr>
          <w:rFonts w:ascii="Century Gothic" w:hAnsi="Century Gothic" w:cs="Garamond-Bold"/>
          <w:bCs/>
          <w:i/>
        </w:rPr>
        <w:tab/>
        <w:t>Előterjesztő: a munkaszervezet vezetője</w:t>
      </w:r>
    </w:p>
    <w:p w:rsidR="003B713F" w:rsidRPr="003B713F" w:rsidRDefault="003B713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-Bold"/>
          <w:bCs/>
          <w:i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</w:t>
      </w:r>
      <w:proofErr w:type="spellStart"/>
      <w:r w:rsidRPr="006162A7">
        <w:rPr>
          <w:rFonts w:ascii="Century Gothic" w:hAnsi="Century Gothic" w:cs="Garamond"/>
        </w:rPr>
        <w:t>Gy</w:t>
      </w:r>
      <w:proofErr w:type="spellEnd"/>
      <w:r w:rsidRPr="006162A7">
        <w:rPr>
          <w:rFonts w:ascii="Century Gothic" w:hAnsi="Century Gothic" w:cs="Garamond"/>
        </w:rPr>
        <w:t xml:space="preserve">. </w:t>
      </w:r>
      <w:proofErr w:type="gramStart"/>
      <w:r w:rsidRPr="006162A7">
        <w:rPr>
          <w:rFonts w:ascii="Century Gothic" w:hAnsi="Century Gothic" w:cs="Garamond"/>
        </w:rPr>
        <w:t>u.</w:t>
      </w:r>
      <w:proofErr w:type="gramEnd"/>
      <w:r w:rsidRPr="006162A7">
        <w:rPr>
          <w:rFonts w:ascii="Century Gothic" w:hAnsi="Century Gothic" w:cs="Garamond"/>
        </w:rPr>
        <w:t xml:space="preserve"> 2</w:t>
      </w:r>
      <w:r w:rsidR="006A6840">
        <w:rPr>
          <w:rFonts w:ascii="Century Gothic" w:hAnsi="Century Gothic" w:cs="Garamond"/>
        </w:rPr>
        <w:t>.) és napirenddel 2016. június 16</w:t>
      </w:r>
      <w:r w:rsidRPr="006162A7">
        <w:rPr>
          <w:rFonts w:ascii="Century Gothic" w:hAnsi="Century Gothic" w:cs="Garamond"/>
        </w:rPr>
        <w:t>. 11 óra időpontra hívom össze.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lastRenderedPageBreak/>
        <w:t>Az egyes napirendi pontokhoz tartozó írásos előterjesztések a Tokaj Borvidék Fejlesztési Tanács ülését megelőzően elektronikus úton kerülnek tovább</w:t>
      </w:r>
      <w:r w:rsidR="006A6840">
        <w:rPr>
          <w:rFonts w:ascii="Century Gothic" w:hAnsi="Century Gothic" w:cs="Garamond"/>
        </w:rPr>
        <w:t>ításra (legkésőbb 2016. június 14</w:t>
      </w:r>
      <w:r w:rsidRPr="006162A7">
        <w:rPr>
          <w:rFonts w:ascii="Century Gothic" w:hAnsi="Century Gothic" w:cs="Garamond"/>
        </w:rPr>
        <w:t>-én).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A6840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Budapest, 2016. június 7</w:t>
      </w:r>
      <w:r w:rsidR="006C612B" w:rsidRPr="006162A7">
        <w:rPr>
          <w:rFonts w:ascii="Century Gothic" w:hAnsi="Century Gothic" w:cs="Garamond"/>
        </w:rPr>
        <w:t>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6C612B" w:rsidRPr="006162A7" w:rsidRDefault="006C612B" w:rsidP="006C612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proofErr w:type="gramStart"/>
      <w:r w:rsidRPr="006162A7">
        <w:rPr>
          <w:rFonts w:ascii="Century Gothic" w:hAnsi="Century Gothic"/>
        </w:rPr>
        <w:t>elnök</w:t>
      </w:r>
      <w:proofErr w:type="gramEnd"/>
    </w:p>
    <w:p w:rsidR="006C612B" w:rsidRPr="006162A7" w:rsidRDefault="006C612B" w:rsidP="006C612B">
      <w:pPr>
        <w:spacing w:after="0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p w:rsidR="00FE4E81" w:rsidRPr="00DB541F" w:rsidRDefault="00FE4E81" w:rsidP="006C612B">
      <w:pPr>
        <w:spacing w:after="0"/>
        <w:rPr>
          <w:b/>
          <w:sz w:val="24"/>
          <w:szCs w:val="24"/>
        </w:rPr>
      </w:pPr>
    </w:p>
    <w:sectPr w:rsidR="00FE4E81" w:rsidRPr="00DB54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34" w:rsidRDefault="00873E34" w:rsidP="0033523C">
      <w:pPr>
        <w:spacing w:after="0" w:line="240" w:lineRule="auto"/>
      </w:pPr>
      <w:r>
        <w:separator/>
      </w:r>
    </w:p>
  </w:endnote>
  <w:endnote w:type="continuationSeparator" w:id="0">
    <w:p w:rsidR="00873E34" w:rsidRDefault="00873E34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34" w:rsidRDefault="00873E34" w:rsidP="0033523C">
      <w:pPr>
        <w:spacing w:after="0" w:line="240" w:lineRule="auto"/>
      </w:pPr>
      <w:r>
        <w:separator/>
      </w:r>
    </w:p>
  </w:footnote>
  <w:footnote w:type="continuationSeparator" w:id="0">
    <w:p w:rsidR="00873E34" w:rsidRDefault="00873E34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3C" w:rsidRDefault="00704BB4" w:rsidP="003352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CBC8FBA" wp14:editId="78E2B027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1" name="Kép 1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3523C" w:rsidRPr="00704BB4" w:rsidRDefault="00704BB4" w:rsidP="00704BB4">
    <w:pPr>
      <w:pStyle w:val="lfej"/>
      <w:jc w:val="both"/>
      <w:rPr>
        <w:color w:val="996600"/>
        <w:u w:val="single"/>
      </w:rPr>
    </w:pP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F1E58"/>
    <w:multiLevelType w:val="hybridMultilevel"/>
    <w:tmpl w:val="44666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083E4C"/>
    <w:rsid w:val="000928DB"/>
    <w:rsid w:val="00097571"/>
    <w:rsid w:val="000B63E1"/>
    <w:rsid w:val="000C0AA0"/>
    <w:rsid w:val="001266F2"/>
    <w:rsid w:val="00192D76"/>
    <w:rsid w:val="00242EF1"/>
    <w:rsid w:val="00272708"/>
    <w:rsid w:val="002D6C58"/>
    <w:rsid w:val="0033348A"/>
    <w:rsid w:val="0033523C"/>
    <w:rsid w:val="00344CAB"/>
    <w:rsid w:val="003B713F"/>
    <w:rsid w:val="003F21CA"/>
    <w:rsid w:val="00430E7C"/>
    <w:rsid w:val="004640C5"/>
    <w:rsid w:val="00470C3C"/>
    <w:rsid w:val="00564BE9"/>
    <w:rsid w:val="00613F75"/>
    <w:rsid w:val="00695FF3"/>
    <w:rsid w:val="006A6840"/>
    <w:rsid w:val="006C12C3"/>
    <w:rsid w:val="006C612B"/>
    <w:rsid w:val="00704BB4"/>
    <w:rsid w:val="0073078A"/>
    <w:rsid w:val="00752AED"/>
    <w:rsid w:val="007C623C"/>
    <w:rsid w:val="00814703"/>
    <w:rsid w:val="00873E34"/>
    <w:rsid w:val="008755F9"/>
    <w:rsid w:val="008C2722"/>
    <w:rsid w:val="008C7031"/>
    <w:rsid w:val="00965081"/>
    <w:rsid w:val="009914A4"/>
    <w:rsid w:val="009C7B58"/>
    <w:rsid w:val="009F2026"/>
    <w:rsid w:val="00A45924"/>
    <w:rsid w:val="00A5491E"/>
    <w:rsid w:val="00AC1927"/>
    <w:rsid w:val="00B21B31"/>
    <w:rsid w:val="00B677EE"/>
    <w:rsid w:val="00BA002E"/>
    <w:rsid w:val="00C11DE0"/>
    <w:rsid w:val="00CB7170"/>
    <w:rsid w:val="00CF040E"/>
    <w:rsid w:val="00D472B8"/>
    <w:rsid w:val="00D52C24"/>
    <w:rsid w:val="00D70F75"/>
    <w:rsid w:val="00DB541F"/>
    <w:rsid w:val="00F00A92"/>
    <w:rsid w:val="00F2787E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1FE8-B273-4CF1-8B3F-E81CB96B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Emese Fedics</cp:lastModifiedBy>
  <cp:revision>2</cp:revision>
  <cp:lastPrinted>2016-04-26T07:39:00Z</cp:lastPrinted>
  <dcterms:created xsi:type="dcterms:W3CDTF">2016-08-29T09:22:00Z</dcterms:created>
  <dcterms:modified xsi:type="dcterms:W3CDTF">2016-08-29T09:22:00Z</dcterms:modified>
</cp:coreProperties>
</file>